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90" w:rsidRDefault="00B26704" w:rsidP="009B2790">
      <w:pPr>
        <w:rPr>
          <w:b/>
          <w:bCs/>
          <w:lang w:val="en-US"/>
        </w:rPr>
      </w:pPr>
      <w:r>
        <w:rPr>
          <w:b/>
          <w:bCs/>
          <w:lang w:val="en-US"/>
        </w:rPr>
        <w:t>A T</w:t>
      </w:r>
      <w:r w:rsidR="009B2790">
        <w:rPr>
          <w:b/>
          <w:bCs/>
          <w:lang w:val="en-US"/>
        </w:rPr>
        <w:t xml:space="preserve">otal Customer Service Assessment and Improvement Solution </w:t>
      </w:r>
    </w:p>
    <w:p w:rsidR="009B2790" w:rsidRPr="00503751" w:rsidRDefault="0091378C" w:rsidP="009B2790">
      <w:pPr>
        <w:rPr>
          <w:bCs/>
          <w:lang w:val="en-US"/>
        </w:rPr>
      </w:pPr>
      <w:r w:rsidRPr="00503751">
        <w:rPr>
          <w:bCs/>
          <w:lang w:val="en-US"/>
        </w:rPr>
        <w:t>Customer Se</w:t>
      </w:r>
      <w:r w:rsidR="009B2790" w:rsidRPr="00503751">
        <w:rPr>
          <w:bCs/>
          <w:lang w:val="en-US"/>
        </w:rPr>
        <w:t xml:space="preserve">rvice Benchmarking Australia </w:t>
      </w:r>
      <w:r w:rsidRPr="00503751">
        <w:rPr>
          <w:bCs/>
          <w:lang w:val="en-US"/>
        </w:rPr>
        <w:t xml:space="preserve">(CSBA) </w:t>
      </w:r>
      <w:r w:rsidR="009B2790" w:rsidRPr="00503751">
        <w:rPr>
          <w:bCs/>
          <w:lang w:val="en-US"/>
        </w:rPr>
        <w:t>offers a range of solutions that are designed to help organisation</w:t>
      </w:r>
      <w:r w:rsidR="006869C5">
        <w:rPr>
          <w:bCs/>
          <w:lang w:val="en-US"/>
        </w:rPr>
        <w:t>s</w:t>
      </w:r>
      <w:r w:rsidR="009B2790" w:rsidRPr="00503751">
        <w:rPr>
          <w:bCs/>
          <w:lang w:val="en-US"/>
        </w:rPr>
        <w:t xml:space="preserve"> </w:t>
      </w:r>
      <w:proofErr w:type="gramStart"/>
      <w:r w:rsidR="009B2790" w:rsidRPr="00503751">
        <w:rPr>
          <w:bCs/>
          <w:lang w:val="en-US"/>
        </w:rPr>
        <w:t>understand</w:t>
      </w:r>
      <w:r w:rsidRPr="00503751">
        <w:rPr>
          <w:bCs/>
          <w:lang w:val="en-US"/>
        </w:rPr>
        <w:t>,</w:t>
      </w:r>
      <w:proofErr w:type="gramEnd"/>
      <w:r w:rsidR="009B2790" w:rsidRPr="00503751">
        <w:rPr>
          <w:bCs/>
          <w:lang w:val="en-US"/>
        </w:rPr>
        <w:t xml:space="preserve"> measure and improve the customer service experience.</w:t>
      </w:r>
      <w:r w:rsidRPr="00503751">
        <w:rPr>
          <w:bCs/>
          <w:lang w:val="en-US"/>
        </w:rPr>
        <w:t xml:space="preserve">  If your orga</w:t>
      </w:r>
      <w:r w:rsidR="00503751">
        <w:rPr>
          <w:bCs/>
          <w:lang w:val="en-US"/>
        </w:rPr>
        <w:t xml:space="preserve">nisation is committed </w:t>
      </w:r>
      <w:r w:rsidR="00C1768A">
        <w:rPr>
          <w:bCs/>
          <w:lang w:val="en-US"/>
        </w:rPr>
        <w:t xml:space="preserve">to </w:t>
      </w:r>
      <w:r w:rsidR="00587D38">
        <w:rPr>
          <w:bCs/>
          <w:lang w:val="en-US"/>
        </w:rPr>
        <w:t>providing excellent customer service</w:t>
      </w:r>
      <w:r w:rsidR="00C1768A">
        <w:rPr>
          <w:bCs/>
          <w:lang w:val="en-US"/>
        </w:rPr>
        <w:t>,</w:t>
      </w:r>
      <w:r w:rsidRPr="00503751">
        <w:rPr>
          <w:bCs/>
          <w:lang w:val="en-US"/>
        </w:rPr>
        <w:t xml:space="preserve"> </w:t>
      </w:r>
      <w:r w:rsidR="00FC506C">
        <w:rPr>
          <w:bCs/>
          <w:lang w:val="en-US"/>
        </w:rPr>
        <w:t xml:space="preserve">then </w:t>
      </w:r>
      <w:r w:rsidRPr="00503751">
        <w:rPr>
          <w:bCs/>
          <w:lang w:val="en-US"/>
        </w:rPr>
        <w:t xml:space="preserve">CSBA has the </w:t>
      </w:r>
      <w:r w:rsidR="00C1768A">
        <w:rPr>
          <w:bCs/>
          <w:lang w:val="en-US"/>
        </w:rPr>
        <w:t>knowledge</w:t>
      </w:r>
      <w:r w:rsidR="00FC506C">
        <w:rPr>
          <w:bCs/>
          <w:lang w:val="en-US"/>
        </w:rPr>
        <w:t xml:space="preserve"> and</w:t>
      </w:r>
      <w:r w:rsidR="00C1768A">
        <w:rPr>
          <w:bCs/>
          <w:lang w:val="en-US"/>
        </w:rPr>
        <w:t xml:space="preserve"> experience </w:t>
      </w:r>
      <w:r w:rsidR="00FC506C">
        <w:rPr>
          <w:bCs/>
          <w:lang w:val="en-US"/>
        </w:rPr>
        <w:t xml:space="preserve">to deliver </w:t>
      </w:r>
      <w:r w:rsidR="00C1768A">
        <w:rPr>
          <w:bCs/>
          <w:lang w:val="en-US"/>
        </w:rPr>
        <w:t xml:space="preserve">the right </w:t>
      </w:r>
      <w:r w:rsidR="00FC506C">
        <w:rPr>
          <w:bCs/>
          <w:lang w:val="en-US"/>
        </w:rPr>
        <w:t xml:space="preserve">suite of </w:t>
      </w:r>
      <w:r w:rsidR="00C1768A">
        <w:rPr>
          <w:bCs/>
          <w:lang w:val="en-US"/>
        </w:rPr>
        <w:t>solutions.</w:t>
      </w:r>
    </w:p>
    <w:p w:rsidR="009B2790" w:rsidRPr="00A04404" w:rsidRDefault="009D0FC2" w:rsidP="009B2790">
      <w:pPr>
        <w:rPr>
          <w:b/>
          <w:bCs/>
          <w:sz w:val="32"/>
          <w:lang w:val="en-US"/>
        </w:rPr>
      </w:pPr>
      <w:r w:rsidRPr="009D0FC2">
        <w:rPr>
          <w:b/>
          <w:bCs/>
          <w:sz w:val="32"/>
          <w:lang w:val="en-US"/>
        </w:rPr>
        <w:t>Mystery Shopping</w:t>
      </w:r>
    </w:p>
    <w:p w:rsidR="00503751" w:rsidRDefault="00503751" w:rsidP="009B2790">
      <w:pPr>
        <w:rPr>
          <w:bCs/>
          <w:lang w:val="en-US"/>
        </w:rPr>
      </w:pPr>
      <w:r w:rsidRPr="00503751">
        <w:rPr>
          <w:bCs/>
          <w:lang w:val="en-US"/>
        </w:rPr>
        <w:t xml:space="preserve">CSBA </w:t>
      </w:r>
      <w:r w:rsidR="006869C5">
        <w:rPr>
          <w:bCs/>
          <w:lang w:val="en-US"/>
        </w:rPr>
        <w:t xml:space="preserve">offers </w:t>
      </w:r>
      <w:r w:rsidRPr="00503751">
        <w:rPr>
          <w:bCs/>
          <w:lang w:val="en-US"/>
        </w:rPr>
        <w:t>Australia’s most comprehensive and rigorous mystery shopping program across all communication channels</w:t>
      </w:r>
      <w:r w:rsidR="006869C5">
        <w:rPr>
          <w:bCs/>
          <w:lang w:val="en-US"/>
        </w:rPr>
        <w:t xml:space="preserve"> </w:t>
      </w:r>
      <w:r w:rsidR="00BB4765">
        <w:rPr>
          <w:bCs/>
          <w:lang w:val="en-US"/>
        </w:rPr>
        <w:t xml:space="preserve">including </w:t>
      </w:r>
      <w:r w:rsidR="006869C5">
        <w:rPr>
          <w:bCs/>
          <w:lang w:val="en-US"/>
        </w:rPr>
        <w:t>phone, face to face, email</w:t>
      </w:r>
      <w:r w:rsidR="00BB4765">
        <w:rPr>
          <w:bCs/>
          <w:lang w:val="en-US"/>
        </w:rPr>
        <w:t xml:space="preserve"> and</w:t>
      </w:r>
      <w:r w:rsidR="006869C5">
        <w:rPr>
          <w:bCs/>
          <w:lang w:val="en-US"/>
        </w:rPr>
        <w:t xml:space="preserve"> web</w:t>
      </w:r>
      <w:r w:rsidR="004E6F68">
        <w:rPr>
          <w:bCs/>
          <w:lang w:val="en-US"/>
        </w:rPr>
        <w:t>.</w:t>
      </w:r>
    </w:p>
    <w:p w:rsidR="006C7F9A" w:rsidRPr="006C7F9A" w:rsidRDefault="00503751" w:rsidP="00D149D1">
      <w:pPr>
        <w:rPr>
          <w:b/>
        </w:rPr>
      </w:pPr>
      <w:r w:rsidRPr="006C7F9A">
        <w:rPr>
          <w:b/>
          <w:lang w:val="en-US"/>
        </w:rPr>
        <w:t xml:space="preserve">Customer Service </w:t>
      </w:r>
      <w:r w:rsidR="006C7F9A" w:rsidRPr="006C7F9A">
        <w:rPr>
          <w:b/>
          <w:lang w:val="en-US"/>
        </w:rPr>
        <w:t xml:space="preserve">Benchmarking </w:t>
      </w:r>
    </w:p>
    <w:p w:rsidR="00977DD8" w:rsidRPr="00977DD8" w:rsidRDefault="00503751">
      <w:pPr>
        <w:numPr>
          <w:ilvl w:val="0"/>
          <w:numId w:val="1"/>
        </w:numPr>
        <w:rPr>
          <w:b/>
          <w:lang w:val="en-US"/>
        </w:rPr>
      </w:pPr>
      <w:r>
        <w:rPr>
          <w:lang w:val="en-US"/>
        </w:rPr>
        <w:t xml:space="preserve">The CSBA telephone </w:t>
      </w:r>
      <w:r w:rsidR="003F31E5">
        <w:rPr>
          <w:lang w:val="en-US"/>
        </w:rPr>
        <w:t xml:space="preserve">mystery shopping </w:t>
      </w:r>
      <w:r>
        <w:rPr>
          <w:lang w:val="en-US"/>
        </w:rPr>
        <w:t xml:space="preserve">benchmark program is the leading Customer Service Benchmarking program in Australia.  Conducted </w:t>
      </w:r>
      <w:r w:rsidR="006869C5">
        <w:rPr>
          <w:lang w:val="en-US"/>
        </w:rPr>
        <w:t xml:space="preserve">among </w:t>
      </w:r>
      <w:r>
        <w:rPr>
          <w:lang w:val="en-US"/>
        </w:rPr>
        <w:t xml:space="preserve">250 companies and </w:t>
      </w:r>
      <w:r w:rsidR="00E545D1">
        <w:rPr>
          <w:lang w:val="en-US"/>
        </w:rPr>
        <w:t xml:space="preserve">across </w:t>
      </w:r>
      <w:r>
        <w:rPr>
          <w:lang w:val="en-US"/>
        </w:rPr>
        <w:t>15 industries</w:t>
      </w:r>
      <w:r w:rsidR="003F31E5">
        <w:rPr>
          <w:lang w:val="en-US"/>
        </w:rPr>
        <w:t xml:space="preserve"> on a quarterly basis</w:t>
      </w:r>
      <w:r w:rsidR="006869C5">
        <w:rPr>
          <w:lang w:val="en-US"/>
        </w:rPr>
        <w:t>,</w:t>
      </w:r>
      <w:r>
        <w:rPr>
          <w:lang w:val="en-US"/>
        </w:rPr>
        <w:t xml:space="preserve"> it is </w:t>
      </w:r>
      <w:r w:rsidR="00241F05">
        <w:rPr>
          <w:lang w:val="en-US"/>
        </w:rPr>
        <w:t xml:space="preserve">Australia’s </w:t>
      </w:r>
      <w:r>
        <w:rPr>
          <w:lang w:val="en-US"/>
        </w:rPr>
        <w:t>most quoted and reliable Customer Service Benchmark measure.</w:t>
      </w:r>
      <w:r w:rsidR="00E225B4" w:rsidRPr="00E225B4">
        <w:t xml:space="preserve"> </w:t>
      </w:r>
    </w:p>
    <w:p w:rsidR="003E3B86" w:rsidRPr="003E3B86" w:rsidRDefault="00BB4765">
      <w:pPr>
        <w:numPr>
          <w:ilvl w:val="0"/>
          <w:numId w:val="1"/>
        </w:numPr>
        <w:rPr>
          <w:b/>
          <w:lang w:val="en-US"/>
        </w:rPr>
      </w:pPr>
      <w:r>
        <w:t>CSBA</w:t>
      </w:r>
      <w:r w:rsidR="00E225B4">
        <w:t xml:space="preserve"> also offer</w:t>
      </w:r>
      <w:r>
        <w:t>s</w:t>
      </w:r>
      <w:r w:rsidR="00E225B4" w:rsidRPr="004E6F68">
        <w:rPr>
          <w:lang w:val="en-US"/>
        </w:rPr>
        <w:t xml:space="preserve"> </w:t>
      </w:r>
      <w:r w:rsidR="00E545D1" w:rsidRPr="004E6F68">
        <w:rPr>
          <w:lang w:val="en-US"/>
        </w:rPr>
        <w:t xml:space="preserve">industry </w:t>
      </w:r>
      <w:r w:rsidR="00E225B4" w:rsidRPr="004E6F68">
        <w:rPr>
          <w:lang w:val="en-US"/>
        </w:rPr>
        <w:t>specific program</w:t>
      </w:r>
      <w:r w:rsidR="00E545D1">
        <w:rPr>
          <w:lang w:val="en-US"/>
        </w:rPr>
        <w:t>s</w:t>
      </w:r>
      <w:r w:rsidR="00741EEB">
        <w:rPr>
          <w:lang w:val="en-US"/>
        </w:rPr>
        <w:t xml:space="preserve"> </w:t>
      </w:r>
      <w:r w:rsidR="00E225B4" w:rsidRPr="004E6F68">
        <w:rPr>
          <w:lang w:val="en-US"/>
        </w:rPr>
        <w:t xml:space="preserve">to provide a </w:t>
      </w:r>
      <w:r w:rsidR="00E225B4">
        <w:rPr>
          <w:lang w:val="en-US"/>
        </w:rPr>
        <w:t>robust</w:t>
      </w:r>
      <w:r w:rsidR="00E545D1">
        <w:rPr>
          <w:lang w:val="en-US"/>
        </w:rPr>
        <w:t xml:space="preserve"> and </w:t>
      </w:r>
      <w:r w:rsidR="00E225B4" w:rsidRPr="004E6F68">
        <w:rPr>
          <w:lang w:val="en-US"/>
        </w:rPr>
        <w:t xml:space="preserve">independent benchmarking assessment </w:t>
      </w:r>
      <w:r w:rsidR="00E545D1">
        <w:rPr>
          <w:lang w:val="en-US"/>
        </w:rPr>
        <w:t>of key industry players, followed by a</w:t>
      </w:r>
      <w:r w:rsidR="00E225B4" w:rsidRPr="004E6F68">
        <w:rPr>
          <w:lang w:val="en-US"/>
        </w:rPr>
        <w:t xml:space="preserve"> forum </w:t>
      </w:r>
      <w:r w:rsidR="00977DD8">
        <w:rPr>
          <w:lang w:val="en-US"/>
        </w:rPr>
        <w:t>whereby participants</w:t>
      </w:r>
      <w:r w:rsidR="00977DD8" w:rsidRPr="004E6F68">
        <w:rPr>
          <w:lang w:val="en-US"/>
        </w:rPr>
        <w:t xml:space="preserve"> </w:t>
      </w:r>
      <w:r w:rsidR="00E225B4" w:rsidRPr="004E6F68">
        <w:rPr>
          <w:lang w:val="en-US"/>
        </w:rPr>
        <w:t xml:space="preserve">share and learn from the </w:t>
      </w:r>
      <w:r w:rsidR="00977DD8">
        <w:rPr>
          <w:lang w:val="en-US"/>
        </w:rPr>
        <w:t>program</w:t>
      </w:r>
      <w:r w:rsidR="00FC506C">
        <w:rPr>
          <w:lang w:val="en-US"/>
        </w:rPr>
        <w:t>’s</w:t>
      </w:r>
      <w:r w:rsidR="00977DD8">
        <w:rPr>
          <w:lang w:val="en-US"/>
        </w:rPr>
        <w:t xml:space="preserve"> </w:t>
      </w:r>
      <w:r w:rsidR="00E225B4" w:rsidRPr="004E6F68">
        <w:rPr>
          <w:lang w:val="en-US"/>
        </w:rPr>
        <w:t xml:space="preserve">results. </w:t>
      </w:r>
    </w:p>
    <w:p w:rsidR="00241F05" w:rsidRPr="006C7F9A" w:rsidRDefault="00241F05" w:rsidP="00241F05">
      <w:pPr>
        <w:rPr>
          <w:b/>
        </w:rPr>
      </w:pPr>
      <w:r>
        <w:rPr>
          <w:b/>
          <w:lang w:val="en-US"/>
        </w:rPr>
        <w:t xml:space="preserve">Tailored Mystery Shopping </w:t>
      </w:r>
    </w:p>
    <w:p w:rsidR="00853530" w:rsidRDefault="00241F05" w:rsidP="006869C5">
      <w:pPr>
        <w:numPr>
          <w:ilvl w:val="0"/>
          <w:numId w:val="1"/>
        </w:numPr>
      </w:pPr>
      <w:r>
        <w:rPr>
          <w:lang w:val="en-US"/>
        </w:rPr>
        <w:t xml:space="preserve">The customer service experience </w:t>
      </w:r>
      <w:r w:rsidR="003F31E5">
        <w:rPr>
          <w:lang w:val="en-US"/>
        </w:rPr>
        <w:t xml:space="preserve">occurs </w:t>
      </w:r>
      <w:r>
        <w:rPr>
          <w:lang w:val="en-US"/>
        </w:rPr>
        <w:t>across many channels (phone, face to face, web and email</w:t>
      </w:r>
      <w:r w:rsidR="00973B90">
        <w:rPr>
          <w:lang w:val="en-US"/>
        </w:rPr>
        <w:t xml:space="preserve">) and activities (sales, service, bill enquiries and hardship).  </w:t>
      </w:r>
      <w:r w:rsidR="00E545D1">
        <w:rPr>
          <w:lang w:val="en-US"/>
        </w:rPr>
        <w:t>But h</w:t>
      </w:r>
      <w:r w:rsidR="00973B90">
        <w:rPr>
          <w:lang w:val="en-US"/>
        </w:rPr>
        <w:t xml:space="preserve">ow do you know that the </w:t>
      </w:r>
      <w:proofErr w:type="gramStart"/>
      <w:r w:rsidR="00E545D1">
        <w:rPr>
          <w:lang w:val="en-US"/>
        </w:rPr>
        <w:t>clients</w:t>
      </w:r>
      <w:proofErr w:type="gramEnd"/>
      <w:r w:rsidR="00E545D1">
        <w:rPr>
          <w:lang w:val="en-US"/>
        </w:rPr>
        <w:t xml:space="preserve"> </w:t>
      </w:r>
      <w:r w:rsidR="00973B90">
        <w:rPr>
          <w:lang w:val="en-US"/>
        </w:rPr>
        <w:t xml:space="preserve">service experience is consistent across all </w:t>
      </w:r>
      <w:r w:rsidR="00E545D1">
        <w:rPr>
          <w:lang w:val="en-US"/>
        </w:rPr>
        <w:t>these</w:t>
      </w:r>
      <w:r w:rsidR="003F31E5">
        <w:rPr>
          <w:lang w:val="en-US"/>
        </w:rPr>
        <w:t>?</w:t>
      </w:r>
      <w:r w:rsidR="00973B90">
        <w:rPr>
          <w:lang w:val="en-US"/>
        </w:rPr>
        <w:t xml:space="preserve">  CSBA has the capability to measure </w:t>
      </w:r>
      <w:r w:rsidR="00E545D1">
        <w:rPr>
          <w:lang w:val="en-US"/>
        </w:rPr>
        <w:t>the consistency of the</w:t>
      </w:r>
      <w:r w:rsidR="00741EEB">
        <w:rPr>
          <w:lang w:val="en-US"/>
        </w:rPr>
        <w:t xml:space="preserve"> </w:t>
      </w:r>
      <w:r w:rsidR="00973B90">
        <w:rPr>
          <w:lang w:val="en-US"/>
        </w:rPr>
        <w:t>Customer Service Experience across all channels</w:t>
      </w:r>
      <w:r w:rsidR="00E545D1">
        <w:rPr>
          <w:lang w:val="en-US"/>
        </w:rPr>
        <w:t xml:space="preserve"> and activit</w:t>
      </w:r>
      <w:r w:rsidR="00741EEB">
        <w:rPr>
          <w:lang w:val="en-US"/>
        </w:rPr>
        <w:t>i</w:t>
      </w:r>
      <w:r w:rsidR="00E545D1">
        <w:rPr>
          <w:lang w:val="en-US"/>
        </w:rPr>
        <w:t>es</w:t>
      </w:r>
      <w:r>
        <w:rPr>
          <w:lang w:val="en-US"/>
        </w:rPr>
        <w:t>.</w:t>
      </w:r>
    </w:p>
    <w:p w:rsidR="003E3B86" w:rsidRDefault="006C7F9A">
      <w:pPr>
        <w:rPr>
          <w:b/>
          <w:lang w:val="en-US"/>
        </w:rPr>
      </w:pPr>
      <w:r w:rsidRPr="00E225B4">
        <w:rPr>
          <w:b/>
          <w:lang w:val="en-US"/>
        </w:rPr>
        <w:t>External Quality Assurance</w:t>
      </w:r>
    </w:p>
    <w:p w:rsidR="00D50631" w:rsidRDefault="00973B90" w:rsidP="00853530">
      <w:pPr>
        <w:numPr>
          <w:ilvl w:val="0"/>
          <w:numId w:val="1"/>
        </w:numPr>
        <w:rPr>
          <w:lang w:val="en-US"/>
        </w:rPr>
      </w:pPr>
      <w:r w:rsidRPr="00E225B4">
        <w:rPr>
          <w:lang w:val="en-US"/>
        </w:rPr>
        <w:t xml:space="preserve">All front line staff </w:t>
      </w:r>
      <w:proofErr w:type="gramStart"/>
      <w:r w:rsidRPr="00E225B4">
        <w:rPr>
          <w:lang w:val="en-US"/>
        </w:rPr>
        <w:t>require</w:t>
      </w:r>
      <w:proofErr w:type="gramEnd"/>
      <w:r w:rsidRPr="00E225B4">
        <w:rPr>
          <w:lang w:val="en-US"/>
        </w:rPr>
        <w:t xml:space="preserve"> feedback on performance.  Yet </w:t>
      </w:r>
      <w:r w:rsidR="004E6F68" w:rsidRPr="00E225B4">
        <w:rPr>
          <w:lang w:val="en-US"/>
        </w:rPr>
        <w:t xml:space="preserve">less than </w:t>
      </w:r>
      <w:r w:rsidRPr="00E225B4">
        <w:rPr>
          <w:lang w:val="en-US"/>
        </w:rPr>
        <w:t xml:space="preserve">50% of staff </w:t>
      </w:r>
      <w:proofErr w:type="gramStart"/>
      <w:r w:rsidR="006469D1">
        <w:rPr>
          <w:lang w:val="en-US"/>
        </w:rPr>
        <w:t>receive</w:t>
      </w:r>
      <w:proofErr w:type="gramEnd"/>
      <w:r w:rsidR="006469D1">
        <w:rPr>
          <w:lang w:val="en-US"/>
        </w:rPr>
        <w:t xml:space="preserve"> regular </w:t>
      </w:r>
      <w:r w:rsidR="006469D1" w:rsidRPr="00741EEB">
        <w:rPr>
          <w:lang w:val="en-US"/>
        </w:rPr>
        <w:t xml:space="preserve">feedback </w:t>
      </w:r>
      <w:r w:rsidR="00977DD8">
        <w:rPr>
          <w:lang w:val="en-US"/>
        </w:rPr>
        <w:t>regarding</w:t>
      </w:r>
      <w:r w:rsidR="00977DD8" w:rsidRPr="00741EEB">
        <w:rPr>
          <w:lang w:val="en-US"/>
        </w:rPr>
        <w:t xml:space="preserve"> </w:t>
      </w:r>
      <w:r w:rsidR="003E3B86" w:rsidRPr="00741EEB">
        <w:rPr>
          <w:lang w:val="en-US"/>
        </w:rPr>
        <w:t>how well they handled th</w:t>
      </w:r>
      <w:r w:rsidRPr="00741EEB">
        <w:rPr>
          <w:lang w:val="en-US"/>
        </w:rPr>
        <w:t>e Customer</w:t>
      </w:r>
      <w:r w:rsidRPr="004E6F68">
        <w:rPr>
          <w:lang w:val="en-US"/>
        </w:rPr>
        <w:t xml:space="preserve"> Service interaction.  CSBA provides the ability to listen to call</w:t>
      </w:r>
      <w:r w:rsidR="00E225B4">
        <w:rPr>
          <w:lang w:val="en-US"/>
        </w:rPr>
        <w:t>s</w:t>
      </w:r>
      <w:r w:rsidRPr="004E6F68">
        <w:rPr>
          <w:lang w:val="en-US"/>
        </w:rPr>
        <w:t xml:space="preserve"> and rate the service experience. </w:t>
      </w:r>
    </w:p>
    <w:p w:rsidR="00853530" w:rsidRDefault="006C7F9A" w:rsidP="00853530">
      <w:pPr>
        <w:numPr>
          <w:ilvl w:val="0"/>
          <w:numId w:val="1"/>
        </w:numPr>
        <w:rPr>
          <w:lang w:val="en-US"/>
        </w:rPr>
      </w:pPr>
      <w:r w:rsidRPr="004E6F68">
        <w:rPr>
          <w:lang w:val="en-US"/>
        </w:rPr>
        <w:t>CSBA</w:t>
      </w:r>
      <w:r w:rsidR="00E225B4">
        <w:rPr>
          <w:lang w:val="en-US"/>
        </w:rPr>
        <w:t>’s</w:t>
      </w:r>
      <w:r w:rsidRPr="004E6F68">
        <w:rPr>
          <w:lang w:val="en-US"/>
        </w:rPr>
        <w:t xml:space="preserve"> comprehensive</w:t>
      </w:r>
      <w:r>
        <w:rPr>
          <w:lang w:val="en-US"/>
        </w:rPr>
        <w:t xml:space="preserve"> and </w:t>
      </w:r>
      <w:r w:rsidR="006869C5">
        <w:rPr>
          <w:lang w:val="en-US"/>
        </w:rPr>
        <w:t>rigorous</w:t>
      </w:r>
      <w:r w:rsidR="003C3F67">
        <w:rPr>
          <w:lang w:val="en-US"/>
        </w:rPr>
        <w:t xml:space="preserve"> Customer Service</w:t>
      </w:r>
      <w:r>
        <w:rPr>
          <w:lang w:val="en-US"/>
        </w:rPr>
        <w:t xml:space="preserve"> </w:t>
      </w:r>
      <w:r w:rsidR="00E225B4">
        <w:rPr>
          <w:lang w:val="en-US"/>
        </w:rPr>
        <w:t xml:space="preserve">measurement </w:t>
      </w:r>
      <w:r w:rsidR="00853530">
        <w:rPr>
          <w:lang w:val="en-US"/>
        </w:rPr>
        <w:t>criteria, combined with our assessment methodology provide</w:t>
      </w:r>
      <w:r>
        <w:rPr>
          <w:lang w:val="en-US"/>
        </w:rPr>
        <w:t xml:space="preserve"> an excellent </w:t>
      </w:r>
      <w:r w:rsidR="003C3F67">
        <w:rPr>
          <w:lang w:val="en-US"/>
        </w:rPr>
        <w:t xml:space="preserve">resource </w:t>
      </w:r>
      <w:r>
        <w:rPr>
          <w:lang w:val="en-US"/>
        </w:rPr>
        <w:t xml:space="preserve">to conduct independent </w:t>
      </w:r>
      <w:r w:rsidR="003C3F67">
        <w:rPr>
          <w:lang w:val="en-US"/>
        </w:rPr>
        <w:t>E</w:t>
      </w:r>
      <w:r w:rsidR="00973B90">
        <w:rPr>
          <w:lang w:val="en-US"/>
        </w:rPr>
        <w:t xml:space="preserve">xternal </w:t>
      </w:r>
      <w:r w:rsidR="003C3F67">
        <w:rPr>
          <w:lang w:val="en-US"/>
        </w:rPr>
        <w:t>Q</w:t>
      </w:r>
      <w:r>
        <w:rPr>
          <w:lang w:val="en-US"/>
        </w:rPr>
        <w:t xml:space="preserve">uality </w:t>
      </w:r>
      <w:r w:rsidR="003C3F67">
        <w:rPr>
          <w:lang w:val="en-US"/>
        </w:rPr>
        <w:t>A</w:t>
      </w:r>
      <w:r>
        <w:rPr>
          <w:lang w:val="en-US"/>
        </w:rPr>
        <w:t>ssessment</w:t>
      </w:r>
      <w:r w:rsidR="003C3F67">
        <w:rPr>
          <w:lang w:val="en-US"/>
        </w:rPr>
        <w:t xml:space="preserve"> (EQA)</w:t>
      </w:r>
      <w:r>
        <w:rPr>
          <w:lang w:val="en-US"/>
        </w:rPr>
        <w:t xml:space="preserve">.  </w:t>
      </w:r>
      <w:r w:rsidR="00977DD8">
        <w:rPr>
          <w:lang w:val="en-US"/>
        </w:rPr>
        <w:t>A</w:t>
      </w:r>
      <w:r w:rsidR="003C3F67">
        <w:rPr>
          <w:lang w:val="en-US"/>
        </w:rPr>
        <w:t>ssessments</w:t>
      </w:r>
      <w:r>
        <w:rPr>
          <w:lang w:val="en-US"/>
        </w:rPr>
        <w:t xml:space="preserve"> </w:t>
      </w:r>
      <w:r w:rsidR="00977DD8">
        <w:rPr>
          <w:lang w:val="en-US"/>
        </w:rPr>
        <w:t xml:space="preserve">may </w:t>
      </w:r>
      <w:r>
        <w:rPr>
          <w:lang w:val="en-US"/>
        </w:rPr>
        <w:t xml:space="preserve">be </w:t>
      </w:r>
      <w:r w:rsidR="00E225B4">
        <w:rPr>
          <w:lang w:val="en-US"/>
        </w:rPr>
        <w:t xml:space="preserve">conducted on </w:t>
      </w:r>
      <w:r w:rsidR="00973B90">
        <w:rPr>
          <w:lang w:val="en-US"/>
        </w:rPr>
        <w:t>mystery shopping call</w:t>
      </w:r>
      <w:r w:rsidR="003C3F67">
        <w:rPr>
          <w:lang w:val="en-US"/>
        </w:rPr>
        <w:t>s</w:t>
      </w:r>
      <w:r w:rsidR="00973B90">
        <w:rPr>
          <w:lang w:val="en-US"/>
        </w:rPr>
        <w:t xml:space="preserve"> or real </w:t>
      </w:r>
      <w:r w:rsidR="00D50631">
        <w:rPr>
          <w:lang w:val="en-US"/>
        </w:rPr>
        <w:t xml:space="preserve">customer </w:t>
      </w:r>
      <w:r w:rsidR="00973B90">
        <w:rPr>
          <w:lang w:val="en-US"/>
        </w:rPr>
        <w:t>call</w:t>
      </w:r>
      <w:r w:rsidR="004E6F68">
        <w:rPr>
          <w:lang w:val="en-US"/>
        </w:rPr>
        <w:t>s</w:t>
      </w:r>
      <w:r w:rsidR="00E545D1">
        <w:rPr>
          <w:lang w:val="en-US"/>
        </w:rPr>
        <w:t xml:space="preserve">, and can cover a range of areas </w:t>
      </w:r>
      <w:proofErr w:type="gramStart"/>
      <w:r w:rsidR="00E545D1">
        <w:rPr>
          <w:lang w:val="en-US"/>
        </w:rPr>
        <w:t xml:space="preserve">including </w:t>
      </w:r>
      <w:r w:rsidR="004E6F68">
        <w:rPr>
          <w:lang w:val="en-US"/>
        </w:rPr>
        <w:t xml:space="preserve"> </w:t>
      </w:r>
      <w:r w:rsidR="00977DD8">
        <w:rPr>
          <w:lang w:val="en-US"/>
        </w:rPr>
        <w:t>s</w:t>
      </w:r>
      <w:r w:rsidR="004E6F68">
        <w:rPr>
          <w:lang w:val="en-US"/>
        </w:rPr>
        <w:t>ervice</w:t>
      </w:r>
      <w:proofErr w:type="gramEnd"/>
      <w:r w:rsidR="004E6F68">
        <w:rPr>
          <w:lang w:val="en-US"/>
        </w:rPr>
        <w:t xml:space="preserve">, </w:t>
      </w:r>
      <w:r w:rsidR="00977DD8">
        <w:rPr>
          <w:lang w:val="en-US"/>
        </w:rPr>
        <w:t>s</w:t>
      </w:r>
      <w:r w:rsidR="004E6F68">
        <w:rPr>
          <w:lang w:val="en-US"/>
        </w:rPr>
        <w:t>ales</w:t>
      </w:r>
      <w:r w:rsidR="00E225B4">
        <w:rPr>
          <w:lang w:val="en-US"/>
        </w:rPr>
        <w:t>,</w:t>
      </w:r>
      <w:r w:rsidR="004E6F68">
        <w:rPr>
          <w:lang w:val="en-US"/>
        </w:rPr>
        <w:t xml:space="preserve"> </w:t>
      </w:r>
      <w:r w:rsidR="00977DD8">
        <w:rPr>
          <w:lang w:val="en-US"/>
        </w:rPr>
        <w:t>h</w:t>
      </w:r>
      <w:r w:rsidR="004E6F68">
        <w:rPr>
          <w:lang w:val="en-US"/>
        </w:rPr>
        <w:t>ardship or specific product information</w:t>
      </w:r>
      <w:r w:rsidR="00853530" w:rsidRPr="004E6F68">
        <w:rPr>
          <w:lang w:val="en-US"/>
        </w:rPr>
        <w:t xml:space="preserve">. </w:t>
      </w:r>
      <w:r w:rsidR="00853530">
        <w:rPr>
          <w:lang w:val="en-US"/>
        </w:rPr>
        <w:t xml:space="preserve"> </w:t>
      </w:r>
    </w:p>
    <w:p w:rsidR="00853530" w:rsidRPr="004E6F68" w:rsidRDefault="00853530" w:rsidP="00853530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Additionally, CSBA</w:t>
      </w:r>
      <w:r w:rsidR="00E545D1">
        <w:rPr>
          <w:lang w:val="en-US"/>
        </w:rPr>
        <w:t xml:space="preserve"> is able to</w:t>
      </w:r>
      <w:r>
        <w:rPr>
          <w:lang w:val="en-US"/>
        </w:rPr>
        <w:t xml:space="preserve"> measure the performance of </w:t>
      </w:r>
      <w:r w:rsidRPr="004E6F68">
        <w:rPr>
          <w:lang w:val="en-US"/>
        </w:rPr>
        <w:t>interpreter</w:t>
      </w:r>
      <w:r>
        <w:rPr>
          <w:lang w:val="en-US"/>
        </w:rPr>
        <w:t>s</w:t>
      </w:r>
      <w:r w:rsidRPr="004E6F68">
        <w:rPr>
          <w:lang w:val="en-US"/>
        </w:rPr>
        <w:t xml:space="preserve"> and provide</w:t>
      </w:r>
      <w:r w:rsidR="00E545D1">
        <w:rPr>
          <w:lang w:val="en-US"/>
        </w:rPr>
        <w:t>s</w:t>
      </w:r>
      <w:r w:rsidRPr="004E6F68">
        <w:rPr>
          <w:lang w:val="en-US"/>
        </w:rPr>
        <w:t xml:space="preserve"> feedback</w:t>
      </w:r>
      <w:r>
        <w:rPr>
          <w:lang w:val="en-US"/>
        </w:rPr>
        <w:t xml:space="preserve"> for calls where Language Other Than English (LOTE) is used.</w:t>
      </w:r>
      <w:r w:rsidRPr="004E6F68">
        <w:rPr>
          <w:lang w:val="en-US"/>
        </w:rPr>
        <w:t xml:space="preserve"> Languages covered include Arabic, Vietnamese, Persian, Korean, Mandarin and Cantonese.</w:t>
      </w:r>
    </w:p>
    <w:p w:rsidR="009F331F" w:rsidRDefault="009F331F">
      <w:pPr>
        <w:ind w:left="360"/>
        <w:rPr>
          <w:b/>
          <w:lang w:val="en-US"/>
        </w:rPr>
      </w:pPr>
    </w:p>
    <w:p w:rsidR="003E3B86" w:rsidRPr="00A04404" w:rsidRDefault="009D0FC2">
      <w:pPr>
        <w:rPr>
          <w:b/>
          <w:sz w:val="32"/>
          <w:lang w:val="en-US"/>
        </w:rPr>
      </w:pPr>
      <w:r w:rsidRPr="009D0FC2">
        <w:rPr>
          <w:b/>
          <w:sz w:val="32"/>
          <w:lang w:val="en-US"/>
        </w:rPr>
        <w:t xml:space="preserve">Customer Satisfaction </w:t>
      </w:r>
    </w:p>
    <w:p w:rsidR="004E6F68" w:rsidRPr="00BE68E6" w:rsidRDefault="006469D1" w:rsidP="00D93B81">
      <w:pPr>
        <w:rPr>
          <w:bCs/>
          <w:lang w:val="en-US"/>
        </w:rPr>
      </w:pPr>
      <w:r>
        <w:rPr>
          <w:bCs/>
          <w:lang w:val="en-US"/>
        </w:rPr>
        <w:lastRenderedPageBreak/>
        <w:t xml:space="preserve">The best </w:t>
      </w:r>
      <w:r w:rsidR="00D50631">
        <w:rPr>
          <w:bCs/>
          <w:lang w:val="en-US"/>
        </w:rPr>
        <w:t xml:space="preserve">insight </w:t>
      </w:r>
      <w:r w:rsidR="007756E3">
        <w:rPr>
          <w:bCs/>
          <w:lang w:val="en-US"/>
        </w:rPr>
        <w:t xml:space="preserve">into </w:t>
      </w:r>
      <w:r>
        <w:rPr>
          <w:bCs/>
          <w:lang w:val="en-US"/>
        </w:rPr>
        <w:t xml:space="preserve">your </w:t>
      </w:r>
      <w:r w:rsidR="007756E3">
        <w:rPr>
          <w:bCs/>
          <w:lang w:val="en-US"/>
        </w:rPr>
        <w:t xml:space="preserve">organisations </w:t>
      </w:r>
      <w:r>
        <w:rPr>
          <w:bCs/>
          <w:lang w:val="en-US"/>
        </w:rPr>
        <w:t>performance comes from your customers.  CSBA Customer Satisfa</w:t>
      </w:r>
      <w:r w:rsidR="009D0FC2" w:rsidRPr="009D0FC2">
        <w:rPr>
          <w:bCs/>
          <w:lang w:val="en-US"/>
        </w:rPr>
        <w:t xml:space="preserve">ction Surveys gather information by talking directly to </w:t>
      </w:r>
      <w:r w:rsidR="00D93B81">
        <w:rPr>
          <w:bCs/>
          <w:lang w:val="en-US"/>
        </w:rPr>
        <w:t>your customers</w:t>
      </w:r>
      <w:r w:rsidR="007756E3">
        <w:rPr>
          <w:bCs/>
          <w:lang w:val="en-US"/>
        </w:rPr>
        <w:t xml:space="preserve"> about the customer service experience</w:t>
      </w:r>
      <w:r w:rsidR="0066601E" w:rsidRPr="00497670">
        <w:rPr>
          <w:bCs/>
          <w:lang w:val="en-US"/>
        </w:rPr>
        <w:t xml:space="preserve">.  </w:t>
      </w:r>
      <w:r w:rsidR="00BE1841">
        <w:rPr>
          <w:bCs/>
          <w:lang w:val="en-US"/>
        </w:rPr>
        <w:t>CSBA has</w:t>
      </w:r>
      <w:r w:rsidR="0066601E" w:rsidRPr="00497670">
        <w:rPr>
          <w:bCs/>
          <w:lang w:val="en-US"/>
        </w:rPr>
        <w:t xml:space="preserve"> the </w:t>
      </w:r>
      <w:r w:rsidR="00CD7C76">
        <w:rPr>
          <w:bCs/>
          <w:lang w:val="en-US"/>
        </w:rPr>
        <w:t>knowledge</w:t>
      </w:r>
      <w:r w:rsidR="00CD7C76" w:rsidRPr="00497670">
        <w:rPr>
          <w:bCs/>
          <w:lang w:val="en-US"/>
        </w:rPr>
        <w:t xml:space="preserve"> </w:t>
      </w:r>
      <w:r w:rsidR="0066601E" w:rsidRPr="00497670">
        <w:rPr>
          <w:bCs/>
          <w:lang w:val="en-US"/>
        </w:rPr>
        <w:t xml:space="preserve">and </w:t>
      </w:r>
      <w:r w:rsidR="00F85573">
        <w:rPr>
          <w:bCs/>
          <w:lang w:val="en-US"/>
        </w:rPr>
        <w:t>expertise</w:t>
      </w:r>
      <w:r w:rsidR="00F85573" w:rsidRPr="00497670">
        <w:rPr>
          <w:bCs/>
          <w:lang w:val="en-US"/>
        </w:rPr>
        <w:t xml:space="preserve"> </w:t>
      </w:r>
      <w:r w:rsidR="0066601E" w:rsidRPr="00497670">
        <w:rPr>
          <w:bCs/>
          <w:lang w:val="en-US"/>
        </w:rPr>
        <w:t xml:space="preserve">to know what </w:t>
      </w:r>
      <w:r w:rsidR="00BE1841">
        <w:rPr>
          <w:bCs/>
          <w:lang w:val="en-US"/>
        </w:rPr>
        <w:t xml:space="preserve">processes and </w:t>
      </w:r>
      <w:r w:rsidR="0066601E" w:rsidRPr="00497670">
        <w:rPr>
          <w:bCs/>
          <w:lang w:val="en-US"/>
        </w:rPr>
        <w:t>measures</w:t>
      </w:r>
      <w:r w:rsidR="00D93B81">
        <w:rPr>
          <w:bCs/>
          <w:lang w:val="en-US"/>
        </w:rPr>
        <w:t xml:space="preserve"> (NPS, loyalty, ease of doing business)</w:t>
      </w:r>
      <w:r w:rsidR="0066601E" w:rsidRPr="00497670">
        <w:rPr>
          <w:bCs/>
          <w:lang w:val="en-US"/>
        </w:rPr>
        <w:t xml:space="preserve"> provide the best value for money</w:t>
      </w:r>
      <w:r w:rsidR="00F85573">
        <w:rPr>
          <w:bCs/>
          <w:lang w:val="en-US"/>
        </w:rPr>
        <w:t xml:space="preserve"> when developing customer satisfaction programs</w:t>
      </w:r>
      <w:r w:rsidR="007756E3">
        <w:rPr>
          <w:bCs/>
          <w:lang w:val="en-US"/>
        </w:rPr>
        <w:t xml:space="preserve"> </w:t>
      </w:r>
      <w:proofErr w:type="gramStart"/>
      <w:r w:rsidR="00FD035D">
        <w:rPr>
          <w:bCs/>
          <w:lang w:val="en-US"/>
        </w:rPr>
        <w:t>This</w:t>
      </w:r>
      <w:proofErr w:type="gramEnd"/>
      <w:r w:rsidR="00FD035D">
        <w:rPr>
          <w:bCs/>
          <w:lang w:val="en-US"/>
        </w:rPr>
        <w:t xml:space="preserve"> ensures programs deliver valuable insights which can be linked</w:t>
      </w:r>
      <w:r w:rsidR="009D0FC2" w:rsidRPr="009D0FC2">
        <w:rPr>
          <w:bCs/>
          <w:lang w:val="en-US"/>
        </w:rPr>
        <w:t xml:space="preserve"> into business improvement programs</w:t>
      </w:r>
      <w:r w:rsidR="009D0FC2">
        <w:rPr>
          <w:bCs/>
          <w:lang w:val="en-US"/>
        </w:rPr>
        <w:t xml:space="preserve">. </w:t>
      </w:r>
    </w:p>
    <w:p w:rsidR="006C7F9A" w:rsidRPr="0066601E" w:rsidRDefault="006C7F9A" w:rsidP="00D93B81">
      <w:pPr>
        <w:rPr>
          <w:b/>
        </w:rPr>
      </w:pPr>
      <w:r w:rsidRPr="0066601E">
        <w:rPr>
          <w:b/>
          <w:lang w:val="en-US"/>
        </w:rPr>
        <w:t>Customer Satisfaction Survey</w:t>
      </w:r>
    </w:p>
    <w:p w:rsidR="0066601E" w:rsidRPr="009B2790" w:rsidRDefault="0066601E" w:rsidP="009B2790">
      <w:pPr>
        <w:numPr>
          <w:ilvl w:val="0"/>
          <w:numId w:val="2"/>
        </w:numPr>
      </w:pPr>
      <w:r>
        <w:rPr>
          <w:lang w:val="en-US"/>
        </w:rPr>
        <w:t xml:space="preserve">Customer </w:t>
      </w:r>
      <w:r w:rsidR="006B48CA">
        <w:rPr>
          <w:lang w:val="en-US"/>
        </w:rPr>
        <w:t>s</w:t>
      </w:r>
      <w:bookmarkStart w:id="0" w:name="_GoBack"/>
      <w:bookmarkEnd w:id="0"/>
      <w:r w:rsidR="006B48CA">
        <w:rPr>
          <w:lang w:val="en-US"/>
        </w:rPr>
        <w:t xml:space="preserve">atisfaction </w:t>
      </w:r>
      <w:r>
        <w:rPr>
          <w:lang w:val="en-US"/>
        </w:rPr>
        <w:t xml:space="preserve">surveys </w:t>
      </w:r>
      <w:r w:rsidR="00CD7C76">
        <w:rPr>
          <w:lang w:val="en-US"/>
        </w:rPr>
        <w:t xml:space="preserve">are now an integral part of any </w:t>
      </w:r>
      <w:proofErr w:type="spellStart"/>
      <w:r w:rsidR="00CD7C76">
        <w:rPr>
          <w:lang w:val="en-US"/>
        </w:rPr>
        <w:t>organisations’</w:t>
      </w:r>
      <w:proofErr w:type="spellEnd"/>
      <w:r w:rsidR="00CD7C76">
        <w:rPr>
          <w:lang w:val="en-US"/>
        </w:rPr>
        <w:t xml:space="preserve"> business improvement program.  </w:t>
      </w:r>
      <w:r>
        <w:rPr>
          <w:lang w:val="en-US"/>
        </w:rPr>
        <w:t>The information</w:t>
      </w:r>
      <w:r w:rsidR="00BF7DAB">
        <w:rPr>
          <w:lang w:val="en-US"/>
        </w:rPr>
        <w:t xml:space="preserve"> is</w:t>
      </w:r>
      <w:r>
        <w:rPr>
          <w:lang w:val="en-US"/>
        </w:rPr>
        <w:t xml:space="preserve"> </w:t>
      </w:r>
      <w:r w:rsidR="00BF7DAB">
        <w:rPr>
          <w:lang w:val="en-US"/>
        </w:rPr>
        <w:t xml:space="preserve">now </w:t>
      </w:r>
      <w:r>
        <w:rPr>
          <w:lang w:val="en-US"/>
        </w:rPr>
        <w:t>capture</w:t>
      </w:r>
      <w:r w:rsidR="00E545D1">
        <w:rPr>
          <w:lang w:val="en-US"/>
        </w:rPr>
        <w:t>d</w:t>
      </w:r>
      <w:r w:rsidR="00D93B81">
        <w:rPr>
          <w:lang w:val="en-US"/>
        </w:rPr>
        <w:t xml:space="preserve"> across a range of channels (phone, IVR and email)</w:t>
      </w:r>
      <w:r w:rsidR="00E545D1">
        <w:rPr>
          <w:lang w:val="en-US"/>
        </w:rPr>
        <w:t xml:space="preserve"> and t</w:t>
      </w:r>
      <w:r w:rsidR="00D93B81">
        <w:rPr>
          <w:lang w:val="en-US"/>
        </w:rPr>
        <w:t xml:space="preserve">he </w:t>
      </w:r>
      <w:r>
        <w:rPr>
          <w:lang w:val="en-US"/>
        </w:rPr>
        <w:t xml:space="preserve">reporting </w:t>
      </w:r>
      <w:r w:rsidR="00D93B81">
        <w:rPr>
          <w:lang w:val="en-US"/>
        </w:rPr>
        <w:t>has become more user friendly</w:t>
      </w:r>
      <w:r w:rsidR="004C3685">
        <w:rPr>
          <w:lang w:val="en-US"/>
        </w:rPr>
        <w:t>, actionable</w:t>
      </w:r>
      <w:r w:rsidR="00D93B81">
        <w:rPr>
          <w:lang w:val="en-US"/>
        </w:rPr>
        <w:t xml:space="preserve"> and ‘real time’.</w:t>
      </w:r>
      <w:r>
        <w:rPr>
          <w:lang w:val="en-US"/>
        </w:rPr>
        <w:t xml:space="preserve">  </w:t>
      </w:r>
    </w:p>
    <w:p w:rsidR="0066601E" w:rsidRPr="009B2790" w:rsidRDefault="004C3685" w:rsidP="009B2790">
      <w:pPr>
        <w:numPr>
          <w:ilvl w:val="0"/>
          <w:numId w:val="2"/>
        </w:numPr>
      </w:pPr>
      <w:r>
        <w:rPr>
          <w:lang w:val="en-US"/>
        </w:rPr>
        <w:t xml:space="preserve">CSBA also offers </w:t>
      </w:r>
      <w:r w:rsidR="00DB5701">
        <w:rPr>
          <w:lang w:val="en-US"/>
        </w:rPr>
        <w:t xml:space="preserve">industry specific </w:t>
      </w:r>
      <w:r w:rsidR="00BE1841">
        <w:rPr>
          <w:lang w:val="en-US"/>
        </w:rPr>
        <w:t xml:space="preserve">customer satisfaction </w:t>
      </w:r>
      <w:r w:rsidR="00DB5701">
        <w:rPr>
          <w:lang w:val="en-US"/>
        </w:rPr>
        <w:t xml:space="preserve">programs. </w:t>
      </w:r>
      <w:r w:rsidR="002A2352">
        <w:rPr>
          <w:lang w:val="en-US"/>
        </w:rPr>
        <w:t>The</w:t>
      </w:r>
      <w:r w:rsidR="00D93B81">
        <w:rPr>
          <w:lang w:val="en-US"/>
        </w:rPr>
        <w:t xml:space="preserve"> CSBA Customer Satisfaction </w:t>
      </w:r>
      <w:r w:rsidR="002A2352">
        <w:rPr>
          <w:lang w:val="en-US"/>
        </w:rPr>
        <w:t>Benchmarking program</w:t>
      </w:r>
      <w:r w:rsidR="00BE1841">
        <w:rPr>
          <w:lang w:val="en-US"/>
        </w:rPr>
        <w:t xml:space="preserve"> </w:t>
      </w:r>
      <w:r w:rsidR="00A92C2F">
        <w:rPr>
          <w:lang w:val="en-US"/>
        </w:rPr>
        <w:t xml:space="preserve">bring together </w:t>
      </w:r>
      <w:r w:rsidR="002A2352">
        <w:rPr>
          <w:lang w:val="en-US"/>
        </w:rPr>
        <w:t>companies from like businesses</w:t>
      </w:r>
      <w:r w:rsidR="00BF7DAB">
        <w:rPr>
          <w:lang w:val="en-US"/>
        </w:rPr>
        <w:t xml:space="preserve"> and</w:t>
      </w:r>
      <w:r w:rsidR="002A2352">
        <w:rPr>
          <w:lang w:val="en-US"/>
        </w:rPr>
        <w:t xml:space="preserve"> conducts a customer satisfaction survey</w:t>
      </w:r>
      <w:r w:rsidR="00BF7DAB">
        <w:rPr>
          <w:lang w:val="en-US"/>
        </w:rPr>
        <w:t xml:space="preserve">, </w:t>
      </w:r>
      <w:proofErr w:type="spellStart"/>
      <w:r w:rsidR="00BF7DAB">
        <w:rPr>
          <w:lang w:val="en-US"/>
        </w:rPr>
        <w:t>with</w:t>
      </w:r>
      <w:r w:rsidR="002A2352">
        <w:rPr>
          <w:lang w:val="en-US"/>
        </w:rPr>
        <w:t>results</w:t>
      </w:r>
      <w:proofErr w:type="spellEnd"/>
      <w:r w:rsidR="002A2352">
        <w:rPr>
          <w:lang w:val="en-US"/>
        </w:rPr>
        <w:t xml:space="preserve"> and be</w:t>
      </w:r>
      <w:r w:rsidR="004B4011">
        <w:rPr>
          <w:lang w:val="en-US"/>
        </w:rPr>
        <w:t>n</w:t>
      </w:r>
      <w:r w:rsidR="002A2352">
        <w:rPr>
          <w:lang w:val="en-US"/>
        </w:rPr>
        <w:t xml:space="preserve">chmarks </w:t>
      </w:r>
      <w:r w:rsidR="00BF7DAB">
        <w:rPr>
          <w:lang w:val="en-US"/>
        </w:rPr>
        <w:t xml:space="preserve">presented </w:t>
      </w:r>
      <w:r w:rsidR="002A2352">
        <w:rPr>
          <w:lang w:val="en-US"/>
        </w:rPr>
        <w:t>in a workshop environment.</w:t>
      </w:r>
    </w:p>
    <w:p w:rsidR="009B2790" w:rsidRPr="00A04404" w:rsidRDefault="009D0FC2" w:rsidP="009B2790">
      <w:pPr>
        <w:rPr>
          <w:b/>
          <w:bCs/>
          <w:sz w:val="32"/>
          <w:lang w:val="en-US"/>
        </w:rPr>
      </w:pPr>
      <w:r w:rsidRPr="009D0FC2">
        <w:rPr>
          <w:b/>
          <w:bCs/>
          <w:sz w:val="32"/>
          <w:lang w:val="en-US"/>
        </w:rPr>
        <w:t>Consulting</w:t>
      </w:r>
    </w:p>
    <w:p w:rsidR="00497670" w:rsidRPr="00227971" w:rsidRDefault="00497670" w:rsidP="009B2790">
      <w:r w:rsidRPr="00227971">
        <w:rPr>
          <w:bCs/>
          <w:lang w:val="en-US"/>
        </w:rPr>
        <w:t xml:space="preserve">Organisations that want to </w:t>
      </w:r>
      <w:r w:rsidR="00FA74C4">
        <w:rPr>
          <w:bCs/>
          <w:lang w:val="en-US"/>
        </w:rPr>
        <w:t>attain</w:t>
      </w:r>
      <w:r w:rsidR="00FA74C4" w:rsidRPr="00227971">
        <w:rPr>
          <w:bCs/>
          <w:lang w:val="en-US"/>
        </w:rPr>
        <w:t xml:space="preserve"> </w:t>
      </w:r>
      <w:r w:rsidRPr="00227971">
        <w:rPr>
          <w:bCs/>
          <w:lang w:val="en-US"/>
        </w:rPr>
        <w:t xml:space="preserve">a </w:t>
      </w:r>
      <w:r w:rsidR="00FA74C4">
        <w:rPr>
          <w:bCs/>
          <w:lang w:val="en-US"/>
        </w:rPr>
        <w:t xml:space="preserve">customer service </w:t>
      </w:r>
      <w:r w:rsidRPr="00227971">
        <w:rPr>
          <w:bCs/>
          <w:lang w:val="en-US"/>
        </w:rPr>
        <w:t xml:space="preserve">competitive advantage can </w:t>
      </w:r>
      <w:r w:rsidR="00FA74C4">
        <w:rPr>
          <w:bCs/>
          <w:lang w:val="en-US"/>
        </w:rPr>
        <w:t xml:space="preserve">employ a combination of </w:t>
      </w:r>
      <w:r w:rsidRPr="00227971">
        <w:rPr>
          <w:bCs/>
          <w:lang w:val="en-US"/>
        </w:rPr>
        <w:t xml:space="preserve"> CSBA</w:t>
      </w:r>
      <w:r w:rsidR="00FA74C4">
        <w:rPr>
          <w:bCs/>
          <w:lang w:val="en-US"/>
        </w:rPr>
        <w:t xml:space="preserve"> </w:t>
      </w:r>
      <w:r w:rsidR="006B48CA">
        <w:rPr>
          <w:bCs/>
          <w:lang w:val="en-US"/>
        </w:rPr>
        <w:t>m</w:t>
      </w:r>
      <w:r w:rsidR="006B48CA" w:rsidRPr="00227971">
        <w:rPr>
          <w:bCs/>
          <w:lang w:val="en-US"/>
        </w:rPr>
        <w:t xml:space="preserve">ystery </w:t>
      </w:r>
      <w:r w:rsidRPr="00227971">
        <w:rPr>
          <w:bCs/>
          <w:lang w:val="en-US"/>
        </w:rPr>
        <w:t>shopping</w:t>
      </w:r>
      <w:r w:rsidR="00FA74C4">
        <w:rPr>
          <w:bCs/>
          <w:lang w:val="en-US"/>
        </w:rPr>
        <w:t xml:space="preserve"> and</w:t>
      </w:r>
      <w:r w:rsidRPr="00227971">
        <w:rPr>
          <w:bCs/>
          <w:lang w:val="en-US"/>
        </w:rPr>
        <w:t xml:space="preserve"> </w:t>
      </w:r>
      <w:r w:rsidR="002A2352">
        <w:rPr>
          <w:bCs/>
          <w:lang w:val="en-US"/>
        </w:rPr>
        <w:t>Customer Satisfaction Surveys</w:t>
      </w:r>
      <w:r w:rsidRPr="00227971">
        <w:rPr>
          <w:bCs/>
          <w:lang w:val="en-US"/>
        </w:rPr>
        <w:t xml:space="preserve"> </w:t>
      </w:r>
      <w:r w:rsidR="00FA74C4">
        <w:rPr>
          <w:bCs/>
          <w:lang w:val="en-US"/>
        </w:rPr>
        <w:t>with</w:t>
      </w:r>
      <w:r w:rsidRPr="00227971">
        <w:rPr>
          <w:bCs/>
          <w:lang w:val="en-US"/>
        </w:rPr>
        <w:t xml:space="preserve"> our team of highly respected consultants </w:t>
      </w:r>
      <w:r w:rsidR="00754693">
        <w:rPr>
          <w:bCs/>
          <w:lang w:val="en-US"/>
        </w:rPr>
        <w:t xml:space="preserve">who can </w:t>
      </w:r>
      <w:r w:rsidRPr="00227971">
        <w:rPr>
          <w:bCs/>
          <w:lang w:val="en-US"/>
        </w:rPr>
        <w:t xml:space="preserve">put it </w:t>
      </w:r>
      <w:r w:rsidR="00754693">
        <w:rPr>
          <w:bCs/>
          <w:lang w:val="en-US"/>
        </w:rPr>
        <w:t>al</w:t>
      </w:r>
      <w:r w:rsidRPr="00227971">
        <w:rPr>
          <w:bCs/>
          <w:lang w:val="en-US"/>
        </w:rPr>
        <w:t xml:space="preserve">together to make </w:t>
      </w:r>
      <w:r w:rsidR="002A2352">
        <w:rPr>
          <w:bCs/>
          <w:lang w:val="en-US"/>
        </w:rPr>
        <w:t xml:space="preserve">Customer Service excellence </w:t>
      </w:r>
      <w:r w:rsidR="00754693">
        <w:rPr>
          <w:bCs/>
          <w:lang w:val="en-US"/>
        </w:rPr>
        <w:t>a reality</w:t>
      </w:r>
      <w:r w:rsidRPr="00227971">
        <w:rPr>
          <w:bCs/>
          <w:lang w:val="en-US"/>
        </w:rPr>
        <w:t>.</w:t>
      </w:r>
      <w:r w:rsidR="00AA117E">
        <w:rPr>
          <w:bCs/>
          <w:lang w:val="en-US"/>
        </w:rPr>
        <w:t xml:space="preserve"> </w:t>
      </w:r>
    </w:p>
    <w:p w:rsidR="006C7F9A" w:rsidRPr="00D149D1" w:rsidRDefault="006C7F9A" w:rsidP="00D149D1">
      <w:pPr>
        <w:rPr>
          <w:b/>
        </w:rPr>
      </w:pPr>
      <w:r w:rsidRPr="00D149D1">
        <w:rPr>
          <w:b/>
          <w:lang w:val="en-US"/>
        </w:rPr>
        <w:t>Customer Service Training</w:t>
      </w:r>
    </w:p>
    <w:p w:rsidR="00227971" w:rsidRPr="009B2790" w:rsidRDefault="00AA117E" w:rsidP="009B2790">
      <w:pPr>
        <w:numPr>
          <w:ilvl w:val="0"/>
          <w:numId w:val="3"/>
        </w:numPr>
      </w:pPr>
      <w:r>
        <w:rPr>
          <w:lang w:val="en-US"/>
        </w:rPr>
        <w:t xml:space="preserve">No other customer service training program provides clear measures on the performance of training programs.   CSBA has a team of highly skilled consultants that take the results of customer surveys and develop a comprehensive training program designed to improve the consistency of the Customer service experience.  </w:t>
      </w:r>
      <w:r w:rsidR="006B48CA">
        <w:rPr>
          <w:lang w:val="en-US"/>
        </w:rPr>
        <w:t xml:space="preserve">All </w:t>
      </w:r>
      <w:r w:rsidR="00D149D1">
        <w:rPr>
          <w:lang w:val="en-US"/>
        </w:rPr>
        <w:t>CSBA training consultant</w:t>
      </w:r>
      <w:r w:rsidR="006B48CA">
        <w:rPr>
          <w:lang w:val="en-US"/>
        </w:rPr>
        <w:t>s</w:t>
      </w:r>
      <w:r w:rsidR="00D149D1">
        <w:rPr>
          <w:lang w:val="en-US"/>
        </w:rPr>
        <w:t xml:space="preserve"> </w:t>
      </w:r>
      <w:r w:rsidR="00227971">
        <w:rPr>
          <w:lang w:val="en-US"/>
        </w:rPr>
        <w:t xml:space="preserve">have a minimum of 10 years experience in training frontline staff.  </w:t>
      </w:r>
      <w:r w:rsidR="003F513E">
        <w:rPr>
          <w:lang w:val="en-US"/>
        </w:rPr>
        <w:t xml:space="preserve">The results are </w:t>
      </w:r>
      <w:r w:rsidR="00EF0815">
        <w:rPr>
          <w:lang w:val="en-US"/>
        </w:rPr>
        <w:t>effective</w:t>
      </w:r>
      <w:r w:rsidR="003F513E">
        <w:rPr>
          <w:lang w:val="en-US"/>
        </w:rPr>
        <w:t xml:space="preserve"> training </w:t>
      </w:r>
      <w:r w:rsidR="00EF0815">
        <w:rPr>
          <w:lang w:val="en-US"/>
        </w:rPr>
        <w:t>programs with</w:t>
      </w:r>
      <w:r w:rsidR="003F513E">
        <w:rPr>
          <w:lang w:val="en-US"/>
        </w:rPr>
        <w:t xml:space="preserve"> </w:t>
      </w:r>
      <w:r w:rsidR="00EF0815">
        <w:rPr>
          <w:lang w:val="en-US"/>
        </w:rPr>
        <w:t xml:space="preserve">immediate and continual </w:t>
      </w:r>
      <w:r w:rsidR="003F513E">
        <w:rPr>
          <w:lang w:val="en-US"/>
        </w:rPr>
        <w:t>improvement</w:t>
      </w:r>
      <w:r w:rsidR="00EF0815">
        <w:rPr>
          <w:lang w:val="en-US"/>
        </w:rPr>
        <w:t xml:space="preserve"> over time. </w:t>
      </w:r>
    </w:p>
    <w:p w:rsidR="004814C1" w:rsidRPr="004814C1" w:rsidRDefault="00BE68E6" w:rsidP="004814C1">
      <w:pPr>
        <w:rPr>
          <w:b/>
          <w:lang w:val="en-US"/>
        </w:rPr>
      </w:pPr>
      <w:r w:rsidRPr="004814C1">
        <w:rPr>
          <w:b/>
          <w:lang w:val="en-US"/>
        </w:rPr>
        <w:t xml:space="preserve">Customer Experience </w:t>
      </w:r>
      <w:r w:rsidR="006C7F9A" w:rsidRPr="004814C1">
        <w:rPr>
          <w:b/>
          <w:lang w:val="en-US"/>
        </w:rPr>
        <w:t xml:space="preserve">Journey </w:t>
      </w:r>
      <w:r w:rsidR="00EF0815" w:rsidRPr="004814C1">
        <w:rPr>
          <w:b/>
          <w:lang w:val="en-US"/>
        </w:rPr>
        <w:t>Mapping</w:t>
      </w:r>
      <w:r w:rsidR="00FD5FE5" w:rsidRPr="004814C1">
        <w:rPr>
          <w:b/>
          <w:lang w:val="en-US"/>
        </w:rPr>
        <w:t xml:space="preserve"> </w:t>
      </w:r>
    </w:p>
    <w:p w:rsidR="009F331F" w:rsidRPr="004814C1" w:rsidRDefault="002E6D51" w:rsidP="004814C1">
      <w:pPr>
        <w:numPr>
          <w:ilvl w:val="0"/>
          <w:numId w:val="3"/>
        </w:numPr>
        <w:rPr>
          <w:lang w:val="en-US"/>
        </w:rPr>
      </w:pPr>
      <w:r w:rsidRPr="004814C1">
        <w:rPr>
          <w:lang w:val="en-US"/>
        </w:rPr>
        <w:t>CSBA Customer Experience Journey Mapping gives organisations a clear and accurate picture of the current customer experience</w:t>
      </w:r>
      <w:r w:rsidR="00FD5FE5" w:rsidRPr="004814C1">
        <w:rPr>
          <w:lang w:val="en-US"/>
        </w:rPr>
        <w:t xml:space="preserve"> and</w:t>
      </w:r>
      <w:r w:rsidRPr="004814C1">
        <w:rPr>
          <w:lang w:val="en-US"/>
        </w:rPr>
        <w:t xml:space="preserve"> then provides a comparison with the organisation’s belief of the same experience process.  CSBA then identifies the preferred customer experience journey</w:t>
      </w:r>
      <w:r w:rsidR="00FD5FE5" w:rsidRPr="004814C1">
        <w:rPr>
          <w:lang w:val="en-US"/>
        </w:rPr>
        <w:t xml:space="preserve"> and develops</w:t>
      </w:r>
      <w:r w:rsidR="00FB4C49">
        <w:rPr>
          <w:lang w:val="en-US"/>
        </w:rPr>
        <w:t xml:space="preserve"> </w:t>
      </w:r>
      <w:r w:rsidR="00FD5FE5" w:rsidRPr="004814C1">
        <w:rPr>
          <w:lang w:val="en-US"/>
        </w:rPr>
        <w:t>t</w:t>
      </w:r>
      <w:r w:rsidRPr="004814C1">
        <w:rPr>
          <w:lang w:val="en-US"/>
        </w:rPr>
        <w:t xml:space="preserve">he Journey Mapping </w:t>
      </w:r>
      <w:r w:rsidR="00FD5FE5" w:rsidRPr="004814C1">
        <w:rPr>
          <w:lang w:val="en-US"/>
        </w:rPr>
        <w:t>which</w:t>
      </w:r>
      <w:r w:rsidRPr="004814C1">
        <w:rPr>
          <w:lang w:val="en-US"/>
        </w:rPr>
        <w:t xml:space="preserve"> defines the steps required to </w:t>
      </w:r>
      <w:r w:rsidR="00FD5FE5" w:rsidRPr="004814C1">
        <w:rPr>
          <w:lang w:val="en-US"/>
        </w:rPr>
        <w:t xml:space="preserve">achieve </w:t>
      </w:r>
      <w:r w:rsidRPr="004814C1">
        <w:rPr>
          <w:lang w:val="en-US"/>
        </w:rPr>
        <w:t xml:space="preserve">what customers define as great service. </w:t>
      </w:r>
    </w:p>
    <w:p w:rsidR="006C7F9A" w:rsidRPr="004E6F68" w:rsidRDefault="00FD6DC1" w:rsidP="00611754">
      <w:pPr>
        <w:rPr>
          <w:b/>
        </w:rPr>
      </w:pPr>
      <w:r w:rsidRPr="00FD6DC1">
        <w:rPr>
          <w:b/>
          <w:lang w:val="en-US"/>
        </w:rPr>
        <w:t>Customer Service Site Review</w:t>
      </w:r>
    </w:p>
    <w:p w:rsidR="009F331F" w:rsidRPr="004814C1" w:rsidRDefault="004B4011">
      <w:pPr>
        <w:numPr>
          <w:ilvl w:val="0"/>
          <w:numId w:val="3"/>
        </w:numPr>
      </w:pPr>
      <w:r w:rsidRPr="004B4011">
        <w:rPr>
          <w:lang w:val="en-US"/>
        </w:rPr>
        <w:t>CSBA Customer Service Site reviews are conducted by experts in the call centre environment.  The results provide an excellent review of the current performance as well as a road map for achieving best practice.</w:t>
      </w:r>
    </w:p>
    <w:p w:rsidR="004814C1" w:rsidRDefault="004814C1" w:rsidP="001E12BB">
      <w:pPr>
        <w:ind w:left="720"/>
      </w:pPr>
    </w:p>
    <w:sectPr w:rsidR="004814C1" w:rsidSect="00D85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122C"/>
    <w:multiLevelType w:val="hybridMultilevel"/>
    <w:tmpl w:val="9C5A941C"/>
    <w:lvl w:ilvl="0" w:tplc="0C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58E0E10"/>
    <w:multiLevelType w:val="hybridMultilevel"/>
    <w:tmpl w:val="69765D66"/>
    <w:lvl w:ilvl="0" w:tplc="8D42BE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6E39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48381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72D2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6A31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8EB3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1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14CA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3AF55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B30018"/>
    <w:multiLevelType w:val="hybridMultilevel"/>
    <w:tmpl w:val="3B8CF98A"/>
    <w:lvl w:ilvl="0" w:tplc="EE3E6E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90630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14704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688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C0B2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0A7F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0943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A698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50DF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582D25"/>
    <w:multiLevelType w:val="hybridMultilevel"/>
    <w:tmpl w:val="31669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D6402"/>
    <w:multiLevelType w:val="hybridMultilevel"/>
    <w:tmpl w:val="DA6E6100"/>
    <w:lvl w:ilvl="0" w:tplc="AB242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A47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EC0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2CE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962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C29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765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0E4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63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A901E0"/>
    <w:multiLevelType w:val="hybridMultilevel"/>
    <w:tmpl w:val="38A6B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E490C"/>
    <w:multiLevelType w:val="hybridMultilevel"/>
    <w:tmpl w:val="0566921C"/>
    <w:lvl w:ilvl="0" w:tplc="A04AD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A45F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1EAC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EE2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4DB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DAC6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0ED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21E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2A4B5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characterSpacingControl w:val="doNotCompress"/>
  <w:compat>
    <w:useFELayout/>
  </w:compat>
  <w:rsids>
    <w:rsidRoot w:val="009B2790"/>
    <w:rsid w:val="00142EB6"/>
    <w:rsid w:val="001E12BB"/>
    <w:rsid w:val="001F17BD"/>
    <w:rsid w:val="00227971"/>
    <w:rsid w:val="00241F05"/>
    <w:rsid w:val="002A2352"/>
    <w:rsid w:val="002C79D8"/>
    <w:rsid w:val="002E6D51"/>
    <w:rsid w:val="003C3F67"/>
    <w:rsid w:val="003E3B86"/>
    <w:rsid w:val="003F31E5"/>
    <w:rsid w:val="003F513E"/>
    <w:rsid w:val="004217C6"/>
    <w:rsid w:val="004421A8"/>
    <w:rsid w:val="004773FF"/>
    <w:rsid w:val="004814C1"/>
    <w:rsid w:val="00494FBF"/>
    <w:rsid w:val="00497670"/>
    <w:rsid w:val="004A42BD"/>
    <w:rsid w:val="004B4011"/>
    <w:rsid w:val="004C3685"/>
    <w:rsid w:val="004E6F68"/>
    <w:rsid w:val="00503751"/>
    <w:rsid w:val="00587D38"/>
    <w:rsid w:val="005E67FA"/>
    <w:rsid w:val="00611754"/>
    <w:rsid w:val="006469D1"/>
    <w:rsid w:val="0066601E"/>
    <w:rsid w:val="006869C5"/>
    <w:rsid w:val="006B48CA"/>
    <w:rsid w:val="006C7F9A"/>
    <w:rsid w:val="006D62E0"/>
    <w:rsid w:val="006E4BBB"/>
    <w:rsid w:val="00741EEB"/>
    <w:rsid w:val="00754693"/>
    <w:rsid w:val="007756E3"/>
    <w:rsid w:val="007A25BF"/>
    <w:rsid w:val="00853530"/>
    <w:rsid w:val="008959AF"/>
    <w:rsid w:val="008F7BEF"/>
    <w:rsid w:val="0091378C"/>
    <w:rsid w:val="00973B90"/>
    <w:rsid w:val="00977DD8"/>
    <w:rsid w:val="009B2790"/>
    <w:rsid w:val="009C557A"/>
    <w:rsid w:val="009D0FC2"/>
    <w:rsid w:val="009F331F"/>
    <w:rsid w:val="00A04404"/>
    <w:rsid w:val="00A92C2F"/>
    <w:rsid w:val="00AA117E"/>
    <w:rsid w:val="00B26704"/>
    <w:rsid w:val="00B74F30"/>
    <w:rsid w:val="00BB4765"/>
    <w:rsid w:val="00BE1841"/>
    <w:rsid w:val="00BE68E6"/>
    <w:rsid w:val="00BF7DAB"/>
    <w:rsid w:val="00C0149B"/>
    <w:rsid w:val="00C1307D"/>
    <w:rsid w:val="00C1768A"/>
    <w:rsid w:val="00C442CA"/>
    <w:rsid w:val="00CD7C76"/>
    <w:rsid w:val="00D0208E"/>
    <w:rsid w:val="00D149D1"/>
    <w:rsid w:val="00D50631"/>
    <w:rsid w:val="00D8549C"/>
    <w:rsid w:val="00D85FB1"/>
    <w:rsid w:val="00D93B81"/>
    <w:rsid w:val="00DB5701"/>
    <w:rsid w:val="00E00B3C"/>
    <w:rsid w:val="00E11724"/>
    <w:rsid w:val="00E225B4"/>
    <w:rsid w:val="00E545D1"/>
    <w:rsid w:val="00ED0842"/>
    <w:rsid w:val="00EF0815"/>
    <w:rsid w:val="00F85573"/>
    <w:rsid w:val="00F91F53"/>
    <w:rsid w:val="00F95109"/>
    <w:rsid w:val="00FA74C4"/>
    <w:rsid w:val="00FB4C49"/>
    <w:rsid w:val="00FC506C"/>
    <w:rsid w:val="00FD035D"/>
    <w:rsid w:val="00FD5FE5"/>
    <w:rsid w:val="00FD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842"/>
    <w:pPr>
      <w:spacing w:after="0" w:line="240" w:lineRule="auto"/>
      <w:ind w:left="72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9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6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9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9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9C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842"/>
    <w:pPr>
      <w:spacing w:after="0" w:line="240" w:lineRule="auto"/>
      <w:ind w:left="72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9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6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9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9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9C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8398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798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192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8753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889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489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164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8136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301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7162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306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60">
          <w:marLeft w:val="41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17236">
          <w:marLeft w:val="85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90FB5-5A51-4CE9-A565-06909877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CSBA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paul.vanveenendaal</dc:creator>
  <cp:lastModifiedBy>paul.vanveenendaal</cp:lastModifiedBy>
  <cp:revision>4</cp:revision>
  <dcterms:created xsi:type="dcterms:W3CDTF">2013-02-23T23:51:00Z</dcterms:created>
  <dcterms:modified xsi:type="dcterms:W3CDTF">2013-02-23T23:52:00Z</dcterms:modified>
</cp:coreProperties>
</file>